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41E16" w14:textId="77777777" w:rsidR="00837A64" w:rsidRPr="00941468" w:rsidRDefault="00837A64" w:rsidP="00837A64">
      <w:pPr>
        <w:spacing w:after="0"/>
        <w:ind w:left="2608" w:hanging="2608"/>
        <w:rPr>
          <w:b/>
          <w:bCs/>
        </w:rPr>
      </w:pPr>
      <w:bookmarkStart w:id="0" w:name="_GoBack"/>
      <w:bookmarkEnd w:id="0"/>
      <w:r w:rsidRPr="00941468">
        <w:rPr>
          <w:b/>
          <w:bCs/>
        </w:rPr>
        <w:t>Bilaga 1</w:t>
      </w:r>
    </w:p>
    <w:p w14:paraId="3A9300BE" w14:textId="77777777" w:rsidR="00837A64" w:rsidRPr="00941468" w:rsidRDefault="00837A64" w:rsidP="00837A64">
      <w:pPr>
        <w:spacing w:after="0"/>
        <w:ind w:left="2608" w:hanging="2608"/>
      </w:pPr>
    </w:p>
    <w:p w14:paraId="34904F31" w14:textId="77777777" w:rsidR="00837A64" w:rsidRPr="00941468" w:rsidRDefault="00837A64" w:rsidP="00837A64">
      <w:pPr>
        <w:spacing w:after="0"/>
      </w:pPr>
    </w:p>
    <w:p w14:paraId="1F3AE04C" w14:textId="77777777" w:rsidR="00837A64" w:rsidRPr="00941468" w:rsidRDefault="00837A64" w:rsidP="00837A64">
      <w:pPr>
        <w:spacing w:after="0"/>
      </w:pPr>
      <w:r w:rsidRPr="00941468">
        <w:t>Lokal överenskommelse om korttidspermittering enligt lag (2013:948) om stöd vid korttidsarbete.</w:t>
      </w:r>
    </w:p>
    <w:p w14:paraId="30BB80C1" w14:textId="77777777" w:rsidR="00837A64" w:rsidRPr="00941468" w:rsidRDefault="00837A64" w:rsidP="00837A64">
      <w:pPr>
        <w:spacing w:after="0"/>
        <w:ind w:left="2608" w:hanging="2608"/>
      </w:pPr>
    </w:p>
    <w:p w14:paraId="244727FC" w14:textId="77777777" w:rsidR="00837A64" w:rsidRPr="00941468" w:rsidRDefault="00837A64" w:rsidP="00837A64">
      <w:pPr>
        <w:spacing w:after="0"/>
        <w:ind w:left="1418" w:hanging="1418"/>
      </w:pPr>
    </w:p>
    <w:p w14:paraId="58D5A70B" w14:textId="77777777" w:rsidR="00837A64" w:rsidRPr="00941468" w:rsidRDefault="00837A64" w:rsidP="00837A64">
      <w:pPr>
        <w:spacing w:after="0"/>
        <w:ind w:left="1418" w:hanging="1418"/>
      </w:pPr>
      <w:r w:rsidRPr="00941468">
        <w:t xml:space="preserve">Parter: </w:t>
      </w:r>
      <w:r w:rsidRPr="00941468">
        <w:tab/>
        <w:t>Företagsnamn, organisationsnummer</w:t>
      </w:r>
    </w:p>
    <w:p w14:paraId="17762931" w14:textId="77777777" w:rsidR="00837A64" w:rsidRPr="00941468" w:rsidRDefault="00837A64" w:rsidP="00837A64">
      <w:pPr>
        <w:spacing w:after="0"/>
        <w:ind w:left="1418" w:hanging="1418"/>
      </w:pPr>
      <w:r w:rsidRPr="00941468">
        <w:tab/>
      </w:r>
      <w:proofErr w:type="gramStart"/>
      <w:r w:rsidRPr="00941468">
        <w:t xml:space="preserve">Bemanningsklubben / </w:t>
      </w:r>
      <w:proofErr w:type="spellStart"/>
      <w:r w:rsidRPr="00941468">
        <w:t>Avd</w:t>
      </w:r>
      <w:proofErr w:type="spellEnd"/>
      <w:proofErr w:type="gramEnd"/>
      <w:r w:rsidRPr="00941468">
        <w:t xml:space="preserve"> nr x</w:t>
      </w:r>
    </w:p>
    <w:p w14:paraId="2B16E843" w14:textId="77777777" w:rsidR="00837A64" w:rsidRPr="00941468" w:rsidRDefault="00837A64" w:rsidP="00837A64">
      <w:pPr>
        <w:spacing w:after="0"/>
        <w:ind w:left="1418" w:hanging="1418"/>
      </w:pPr>
    </w:p>
    <w:p w14:paraId="28D9134E" w14:textId="77777777" w:rsidR="00837A64" w:rsidRPr="00941468" w:rsidRDefault="00837A64" w:rsidP="00837A64">
      <w:pPr>
        <w:spacing w:after="0"/>
        <w:ind w:left="1418" w:hanging="1418"/>
      </w:pPr>
      <w:r w:rsidRPr="00941468">
        <w:t>Närvarande</w:t>
      </w:r>
      <w:r w:rsidRPr="00941468">
        <w:tab/>
        <w:t>Företaget</w:t>
      </w:r>
    </w:p>
    <w:p w14:paraId="2AC65D52" w14:textId="77777777" w:rsidR="00837A64" w:rsidRPr="00941468" w:rsidRDefault="00837A64" w:rsidP="00837A64">
      <w:pPr>
        <w:spacing w:after="0"/>
        <w:ind w:left="1418" w:hanging="1418"/>
      </w:pPr>
      <w:r w:rsidRPr="00941468">
        <w:tab/>
        <w:t>XX</w:t>
      </w:r>
    </w:p>
    <w:p w14:paraId="16F6DF4B" w14:textId="77777777" w:rsidR="00837A64" w:rsidRPr="00941468" w:rsidRDefault="00837A64" w:rsidP="00837A64">
      <w:pPr>
        <w:spacing w:after="0"/>
        <w:ind w:left="1418" w:hanging="1418"/>
      </w:pPr>
      <w:r w:rsidRPr="00941468">
        <w:tab/>
      </w:r>
    </w:p>
    <w:p w14:paraId="17E1052F" w14:textId="77777777" w:rsidR="00837A64" w:rsidRPr="00941468" w:rsidRDefault="00837A64" w:rsidP="00837A64">
      <w:pPr>
        <w:spacing w:after="0"/>
        <w:ind w:left="1418" w:hanging="1418"/>
      </w:pPr>
      <w:r w:rsidRPr="00941468">
        <w:tab/>
        <w:t xml:space="preserve">Arbetstagarparten </w:t>
      </w:r>
    </w:p>
    <w:p w14:paraId="2E9093BF" w14:textId="77777777" w:rsidR="00837A64" w:rsidRPr="00941468" w:rsidRDefault="00837A64" w:rsidP="00837A64">
      <w:pPr>
        <w:spacing w:after="0"/>
        <w:ind w:left="1418" w:hanging="1418"/>
      </w:pPr>
      <w:r w:rsidRPr="00941468">
        <w:tab/>
        <w:t>NN</w:t>
      </w:r>
    </w:p>
    <w:p w14:paraId="7B80DEA6" w14:textId="77777777" w:rsidR="00837A64" w:rsidRPr="00941468" w:rsidRDefault="00837A64" w:rsidP="00837A64">
      <w:pPr>
        <w:spacing w:after="0"/>
      </w:pPr>
    </w:p>
    <w:p w14:paraId="19EA8576" w14:textId="2A0DE62F" w:rsidR="00837A64" w:rsidRPr="00941468" w:rsidRDefault="00837A64" w:rsidP="00837A64">
      <w:pPr>
        <w:numPr>
          <w:ilvl w:val="0"/>
          <w:numId w:val="2"/>
        </w:numPr>
        <w:spacing w:after="0" w:line="240" w:lineRule="auto"/>
        <w:ind w:left="1418" w:hanging="1418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Lön under korttidspermittering fastställs genom en beräkning av ett genomsnitt av GFL, Genomsnittligt förtjänstläge, under de tre senaste månaderna innan korttidspermitteringen. </w:t>
      </w:r>
      <w:r w:rsidRPr="00941468">
        <w:rPr>
          <w:rFonts w:ascii="Calibri" w:hAnsi="Calibri"/>
          <w:sz w:val="24"/>
        </w:rPr>
        <w:t xml:space="preserve">Genom denna överenskommelse sänks ordinarie arbetstid, </w:t>
      </w:r>
      <w:r>
        <w:rPr>
          <w:rFonts w:ascii="Calibri" w:hAnsi="Calibri"/>
          <w:sz w:val="24"/>
        </w:rPr>
        <w:t xml:space="preserve">utgående </w:t>
      </w:r>
      <w:r w:rsidRPr="00941468">
        <w:rPr>
          <w:rFonts w:ascii="Calibri" w:hAnsi="Calibri"/>
          <w:sz w:val="24"/>
        </w:rPr>
        <w:t xml:space="preserve">lön, och tillgänglighetstid enligt </w:t>
      </w:r>
      <w:r>
        <w:rPr>
          <w:rFonts w:ascii="Calibri" w:hAnsi="Calibri"/>
          <w:sz w:val="24"/>
        </w:rPr>
        <w:t xml:space="preserve">aktuell procentsats i </w:t>
      </w:r>
      <w:r w:rsidRPr="00941468">
        <w:rPr>
          <w:rFonts w:ascii="Calibri" w:hAnsi="Calibri"/>
          <w:sz w:val="24"/>
        </w:rPr>
        <w:t xml:space="preserve">tabellen nedan. Löneminskningen </w:t>
      </w:r>
      <w:r>
        <w:rPr>
          <w:rFonts w:ascii="Calibri" w:hAnsi="Calibri"/>
          <w:sz w:val="24"/>
        </w:rPr>
        <w:t xml:space="preserve">görs utifrån </w:t>
      </w:r>
      <w:r w:rsidRPr="00941468">
        <w:rPr>
          <w:rFonts w:ascii="Calibri" w:hAnsi="Calibri"/>
          <w:sz w:val="24"/>
        </w:rPr>
        <w:t>genomsnittet av GFL för de tre sista månaderna innan korttidspermitteringen</w:t>
      </w:r>
      <w:r>
        <w:rPr>
          <w:rFonts w:ascii="Calibri" w:hAnsi="Calibri"/>
          <w:sz w:val="24"/>
        </w:rPr>
        <w:t>.</w:t>
      </w:r>
      <w:r w:rsidRPr="00941468">
        <w:rPr>
          <w:rFonts w:ascii="Calibri" w:hAnsi="Calibri"/>
          <w:sz w:val="24"/>
        </w:rPr>
        <w:t xml:space="preserve"> </w:t>
      </w:r>
    </w:p>
    <w:p w14:paraId="550EBCC8" w14:textId="77777777" w:rsidR="00837A64" w:rsidRPr="00941468" w:rsidRDefault="00837A64" w:rsidP="00837A64">
      <w:pPr>
        <w:spacing w:after="0" w:line="240" w:lineRule="auto"/>
        <w:ind w:left="1418"/>
        <w:contextualSpacing/>
        <w:rPr>
          <w:rFonts w:ascii="Calibri" w:hAnsi="Calibri"/>
          <w:sz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581"/>
        <w:gridCol w:w="1247"/>
        <w:gridCol w:w="1020"/>
        <w:gridCol w:w="747"/>
        <w:gridCol w:w="2325"/>
      </w:tblGrid>
      <w:tr w:rsidR="00837A64" w:rsidRPr="00941468" w14:paraId="133427F0" w14:textId="77777777" w:rsidTr="00CB7AFB">
        <w:trPr>
          <w:trHeight w:val="345"/>
        </w:trPr>
        <w:tc>
          <w:tcPr>
            <w:tcW w:w="100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316D3859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Nivå</w:t>
            </w:r>
          </w:p>
        </w:tc>
        <w:tc>
          <w:tcPr>
            <w:tcW w:w="10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46177331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Arbetstids</w:t>
            </w: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softHyphen/>
              <w:t>minskning/</w:t>
            </w:r>
            <w:proofErr w:type="spell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tillgänglighets-minskning</w:t>
            </w:r>
            <w:proofErr w:type="spellEnd"/>
          </w:p>
        </w:tc>
        <w:tc>
          <w:tcPr>
            <w:tcW w:w="10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0CAAF5DF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Löne-minskning</w:t>
            </w:r>
          </w:p>
        </w:tc>
        <w:tc>
          <w:tcPr>
            <w:tcW w:w="10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15A7220A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Arbets-givare</w:t>
            </w:r>
          </w:p>
        </w:tc>
        <w:tc>
          <w:tcPr>
            <w:tcW w:w="5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47D18BAF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Stat</w:t>
            </w:r>
          </w:p>
        </w:tc>
        <w:tc>
          <w:tcPr>
            <w:tcW w:w="50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4CE89F4D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Arbetsgivarens minskade arbetskraftskostnader </w:t>
            </w:r>
          </w:p>
        </w:tc>
      </w:tr>
      <w:tr w:rsidR="00837A64" w:rsidRPr="00941468" w14:paraId="231F8E30" w14:textId="77777777" w:rsidTr="00CB7AFB">
        <w:trPr>
          <w:trHeight w:val="345"/>
        </w:trPr>
        <w:tc>
          <w:tcPr>
            <w:tcW w:w="10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52ECE94B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65BECA8B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636D30B4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4%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6EF24D0B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1%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60828F29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15%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0BBB14F4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-</w:t>
            </w:r>
            <w:proofErr w:type="gramEnd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19 %</w:t>
            </w:r>
          </w:p>
        </w:tc>
      </w:tr>
      <w:tr w:rsidR="00837A64" w:rsidRPr="00941468" w14:paraId="13803083" w14:textId="77777777" w:rsidTr="00CB7AFB">
        <w:trPr>
          <w:trHeight w:val="345"/>
        </w:trPr>
        <w:tc>
          <w:tcPr>
            <w:tcW w:w="10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0C9E8E19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39BE1393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4C01B49C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6%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787AA613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4%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14422C34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30%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49A67FC3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-</w:t>
            </w:r>
            <w:proofErr w:type="gramEnd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36 %</w:t>
            </w:r>
          </w:p>
        </w:tc>
      </w:tr>
      <w:tr w:rsidR="00837A64" w:rsidRPr="00941468" w14:paraId="7DCBAAFB" w14:textId="77777777" w:rsidTr="00CB7AFB">
        <w:trPr>
          <w:trHeight w:val="345"/>
        </w:trPr>
        <w:tc>
          <w:tcPr>
            <w:tcW w:w="10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37D1CECF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06F79E0A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64769A01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7,</w:t>
            </w: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5%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34FF174B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7,</w:t>
            </w: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5%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392D668C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45%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14:paraId="1DC3DB95" w14:textId="77777777" w:rsidR="00837A64" w:rsidRPr="00941468" w:rsidRDefault="00837A64" w:rsidP="00CB7AFB">
            <w:pPr>
              <w:spacing w:after="420"/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-</w:t>
            </w:r>
            <w:proofErr w:type="gramEnd"/>
            <w:r w:rsidRPr="00941468">
              <w:rPr>
                <w:rFonts w:ascii="Helvetica" w:hAnsi="Helvetica" w:cs="Helvetica"/>
                <w:color w:val="333333"/>
                <w:sz w:val="20"/>
                <w:szCs w:val="20"/>
                <w:lang w:eastAsia="sv-SE"/>
              </w:rPr>
              <w:t>53 %</w:t>
            </w:r>
          </w:p>
        </w:tc>
      </w:tr>
    </w:tbl>
    <w:p w14:paraId="096B66CF" w14:textId="77777777" w:rsidR="00837A64" w:rsidRPr="00941468" w:rsidRDefault="00837A64" w:rsidP="00837A64">
      <w:pPr>
        <w:spacing w:after="200" w:line="240" w:lineRule="auto"/>
        <w:ind w:left="720"/>
        <w:contextualSpacing/>
        <w:rPr>
          <w:rFonts w:ascii="Calibri" w:hAnsi="Calibri"/>
          <w:sz w:val="24"/>
        </w:rPr>
      </w:pPr>
    </w:p>
    <w:p w14:paraId="7853BDFB" w14:textId="77777777" w:rsidR="00837A64" w:rsidRPr="00941468" w:rsidRDefault="00837A64" w:rsidP="00837A64">
      <w:pPr>
        <w:numPr>
          <w:ilvl w:val="0"/>
          <w:numId w:val="2"/>
        </w:numPr>
        <w:spacing w:after="0" w:line="240" w:lineRule="auto"/>
        <w:ind w:left="1418" w:hanging="1418"/>
        <w:contextualSpacing/>
        <w:rPr>
          <w:rFonts w:ascii="Calibri" w:hAnsi="Calibri"/>
          <w:sz w:val="24"/>
        </w:rPr>
      </w:pPr>
      <w:r w:rsidRPr="00941468">
        <w:rPr>
          <w:rFonts w:ascii="Calibri" w:hAnsi="Calibri"/>
          <w:sz w:val="24"/>
        </w:rPr>
        <w:t>Till denna överenskommelse skall biläggas förteckning över vilka anställda som omfattas samt arbetstidsminskningen för varje anställd. Bil 1</w:t>
      </w:r>
    </w:p>
    <w:p w14:paraId="3FAC3B86" w14:textId="77777777" w:rsidR="00837A64" w:rsidRPr="00941468" w:rsidRDefault="00837A64" w:rsidP="00837A64">
      <w:pPr>
        <w:spacing w:after="200" w:line="240" w:lineRule="auto"/>
        <w:ind w:left="720"/>
        <w:contextualSpacing/>
        <w:rPr>
          <w:rFonts w:ascii="Calibri" w:hAnsi="Calibri"/>
          <w:sz w:val="24"/>
        </w:rPr>
      </w:pPr>
    </w:p>
    <w:p w14:paraId="4D74488A" w14:textId="77777777" w:rsidR="00837A64" w:rsidRDefault="00837A64" w:rsidP="00837A64">
      <w:pPr>
        <w:numPr>
          <w:ilvl w:val="0"/>
          <w:numId w:val="2"/>
        </w:numPr>
        <w:spacing w:after="200" w:line="240" w:lineRule="auto"/>
        <w:ind w:left="1701" w:hanging="1134"/>
        <w:contextualSpacing/>
        <w:rPr>
          <w:rFonts w:ascii="Calibri" w:hAnsi="Calibri"/>
          <w:sz w:val="24"/>
        </w:rPr>
      </w:pPr>
      <w:r w:rsidRPr="00941468">
        <w:rPr>
          <w:rFonts w:ascii="Calibri" w:hAnsi="Calibri"/>
          <w:sz w:val="24"/>
        </w:rPr>
        <w:t>Arbetsgivaren ska under avtalsperioden skicka in avstämningsunderlag till ansvarig myndighet. Kopia ska vid samma tillfälle skickas till respektive centralt ansvarigt förbunds lokalavdelning</w:t>
      </w:r>
      <w:r>
        <w:rPr>
          <w:rFonts w:ascii="Calibri" w:hAnsi="Calibri"/>
          <w:sz w:val="24"/>
        </w:rPr>
        <w:t>/klubb</w:t>
      </w:r>
      <w:r w:rsidRPr="00941468">
        <w:rPr>
          <w:rFonts w:ascii="Calibri" w:hAnsi="Calibri"/>
          <w:sz w:val="24"/>
        </w:rPr>
        <w:t xml:space="preserve">.       </w:t>
      </w:r>
    </w:p>
    <w:p w14:paraId="010FAD34" w14:textId="77777777" w:rsidR="00837A64" w:rsidRDefault="00837A64" w:rsidP="00837A64">
      <w:pPr>
        <w:pStyle w:val="Liststycke"/>
        <w:rPr>
          <w:rFonts w:ascii="Calibri" w:hAnsi="Calibri"/>
          <w:sz w:val="24"/>
        </w:rPr>
      </w:pPr>
    </w:p>
    <w:p w14:paraId="517459EA" w14:textId="77777777" w:rsidR="00837A64" w:rsidRDefault="00837A64" w:rsidP="00837A64">
      <w:pPr>
        <w:spacing w:after="200" w:line="240" w:lineRule="auto"/>
        <w:ind w:left="360"/>
        <w:contextualSpacing/>
        <w:rPr>
          <w:rFonts w:ascii="Calibri" w:hAnsi="Calibri"/>
          <w:sz w:val="24"/>
        </w:rPr>
      </w:pPr>
    </w:p>
    <w:p w14:paraId="77AA3E6C" w14:textId="77777777" w:rsidR="00837A64" w:rsidRPr="00941468" w:rsidRDefault="00837A64" w:rsidP="00837A64">
      <w:pPr>
        <w:spacing w:after="200" w:line="240" w:lineRule="auto"/>
        <w:ind w:left="360"/>
        <w:contextualSpacing/>
        <w:rPr>
          <w:rFonts w:ascii="Calibri" w:hAnsi="Calibri"/>
          <w:sz w:val="24"/>
        </w:rPr>
      </w:pPr>
      <w:r w:rsidRPr="00941468">
        <w:rPr>
          <w:rFonts w:ascii="Calibri" w:hAnsi="Calibri"/>
          <w:sz w:val="24"/>
        </w:rPr>
        <w:t>Denna överenskommelse har sju (7) dagars ömsesidig uppsägningstid.</w:t>
      </w:r>
    </w:p>
    <w:p w14:paraId="5929A76D" w14:textId="77777777" w:rsidR="00837A64" w:rsidRPr="00941468" w:rsidRDefault="00837A64" w:rsidP="00837A64">
      <w:pPr>
        <w:spacing w:after="0"/>
      </w:pPr>
    </w:p>
    <w:p w14:paraId="2E08D38B" w14:textId="77777777" w:rsidR="00837A64" w:rsidRPr="00941468" w:rsidRDefault="00837A64" w:rsidP="00837A64">
      <w:pPr>
        <w:spacing w:after="0"/>
      </w:pPr>
    </w:p>
    <w:p w14:paraId="23A85842" w14:textId="77777777" w:rsidR="00837A64" w:rsidRPr="00941468" w:rsidRDefault="00837A64" w:rsidP="00837A64">
      <w:pPr>
        <w:spacing w:after="0"/>
      </w:pPr>
    </w:p>
    <w:p w14:paraId="0C4EB0E0" w14:textId="77777777" w:rsidR="00837A64" w:rsidRPr="00941468" w:rsidRDefault="00837A64" w:rsidP="00837A64">
      <w:pPr>
        <w:spacing w:after="0"/>
      </w:pPr>
    </w:p>
    <w:p w14:paraId="41E42D22" w14:textId="77777777" w:rsidR="00837A64" w:rsidRPr="00941468" w:rsidRDefault="00837A64" w:rsidP="00837A64">
      <w:pPr>
        <w:spacing w:after="0"/>
      </w:pPr>
    </w:p>
    <w:p w14:paraId="69A44E2F" w14:textId="77777777" w:rsidR="00837A64" w:rsidRPr="00941468" w:rsidRDefault="00837A64" w:rsidP="00837A64">
      <w:pPr>
        <w:spacing w:after="0"/>
      </w:pPr>
      <w:r w:rsidRPr="00941468">
        <w:t>Företaget</w:t>
      </w:r>
      <w:r w:rsidRPr="00941468">
        <w:tab/>
      </w:r>
      <w:r w:rsidRPr="00941468">
        <w:tab/>
      </w:r>
      <w:r w:rsidRPr="00941468">
        <w:tab/>
        <w:t xml:space="preserve">Bemanningsklubben / </w:t>
      </w:r>
      <w:proofErr w:type="spellStart"/>
      <w:r w:rsidRPr="00941468">
        <w:t>Avd</w:t>
      </w:r>
      <w:proofErr w:type="spellEnd"/>
      <w:r w:rsidRPr="00941468">
        <w:t xml:space="preserve"> nr XX [välj tillämplig part]</w:t>
      </w:r>
      <w:r w:rsidRPr="00941468">
        <w:tab/>
      </w:r>
    </w:p>
    <w:p w14:paraId="5F58634C" w14:textId="77777777" w:rsidR="00837A64" w:rsidRPr="00941468" w:rsidRDefault="00837A64" w:rsidP="00837A64">
      <w:pPr>
        <w:spacing w:after="0"/>
      </w:pPr>
    </w:p>
    <w:p w14:paraId="5CE64EF9" w14:textId="77777777" w:rsidR="00837A64" w:rsidRPr="00941468" w:rsidRDefault="00837A64" w:rsidP="00837A64">
      <w:pPr>
        <w:spacing w:after="0"/>
      </w:pPr>
    </w:p>
    <w:p w14:paraId="0A7083AC" w14:textId="77777777" w:rsidR="00837A64" w:rsidRPr="00941468" w:rsidRDefault="00837A64" w:rsidP="00837A64">
      <w:pPr>
        <w:spacing w:after="0"/>
      </w:pPr>
    </w:p>
    <w:p w14:paraId="19780F77" w14:textId="77777777" w:rsidR="00837A64" w:rsidRPr="00941468" w:rsidRDefault="00837A64" w:rsidP="00837A64">
      <w:pPr>
        <w:spacing w:after="0"/>
      </w:pPr>
      <w:r w:rsidRPr="00941468">
        <w:t>________________</w:t>
      </w:r>
      <w:r w:rsidRPr="00941468">
        <w:tab/>
      </w:r>
      <w:r w:rsidRPr="00941468">
        <w:tab/>
        <w:t>________________</w:t>
      </w:r>
    </w:p>
    <w:p w14:paraId="2DF601A1" w14:textId="77777777" w:rsidR="00EE0C46" w:rsidRDefault="00EE0C46"/>
    <w:sectPr w:rsidR="00E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63B"/>
    <w:multiLevelType w:val="hybridMultilevel"/>
    <w:tmpl w:val="28DE4636"/>
    <w:lvl w:ilvl="0" w:tplc="500668E6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C21ED"/>
    <w:multiLevelType w:val="hybridMultilevel"/>
    <w:tmpl w:val="33C8C9EA"/>
    <w:lvl w:ilvl="0" w:tplc="500668E6">
      <w:start w:val="1"/>
      <w:numFmt w:val="decimal"/>
      <w:lvlText w:val="§ %1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4"/>
    <w:rsid w:val="00064118"/>
    <w:rsid w:val="00202EE5"/>
    <w:rsid w:val="00837A64"/>
    <w:rsid w:val="008428F3"/>
    <w:rsid w:val="008B6837"/>
    <w:rsid w:val="00B604EF"/>
    <w:rsid w:val="00BB5F7B"/>
    <w:rsid w:val="00D056AD"/>
    <w:rsid w:val="00D92A05"/>
    <w:rsid w:val="00E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150B"/>
  <w15:chartTrackingRefBased/>
  <w15:docId w15:val="{0915F39C-C3DB-41AD-9602-29B758F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D33FCDD67F141ABBB583B1BDA86B0" ma:contentTypeVersion="11" ma:contentTypeDescription="Skapa ett nytt dokument." ma:contentTypeScope="" ma:versionID="a536810049327dbecb312f7fe05bd5e9">
  <xsd:schema xmlns:xsd="http://www.w3.org/2001/XMLSchema" xmlns:xs="http://www.w3.org/2001/XMLSchema" xmlns:p="http://schemas.microsoft.com/office/2006/metadata/properties" xmlns:ns3="20542c90-0224-4e38-b325-9c8a7ba8bd66" xmlns:ns4="075ae920-cf7b-46a7-bc59-452cf1c8e7d1" targetNamespace="http://schemas.microsoft.com/office/2006/metadata/properties" ma:root="true" ma:fieldsID="42394e1da2358006c077944c0076f949" ns3:_="" ns4:_="">
    <xsd:import namespace="20542c90-0224-4e38-b325-9c8a7ba8bd66"/>
    <xsd:import namespace="075ae920-cf7b-46a7-bc59-452cf1c8e7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2c90-0224-4e38-b325-9c8a7ba8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e920-cf7b-46a7-bc59-452cf1c8e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C1A64-FF69-4610-96E7-E97833809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2c90-0224-4e38-b325-9c8a7ba8bd66"/>
    <ds:schemaRef ds:uri="075ae920-cf7b-46a7-bc59-452cf1c8e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84A95-CCCB-4A6E-A60A-D0E1A16D4E54}">
  <ds:schemaRefs>
    <ds:schemaRef ds:uri="http://schemas.microsoft.com/office/2006/metadata/properties"/>
    <ds:schemaRef ds:uri="http://schemas.microsoft.com/office/2006/documentManagement/types"/>
    <ds:schemaRef ds:uri="075ae920-cf7b-46a7-bc59-452cf1c8e7d1"/>
    <ds:schemaRef ds:uri="http://purl.org/dc/elements/1.1/"/>
    <ds:schemaRef ds:uri="20542c90-0224-4e38-b325-9c8a7ba8bd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C012F9-AC15-4017-9B18-2B7B1BC25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Ackholt</dc:creator>
  <cp:keywords/>
  <dc:description/>
  <cp:lastModifiedBy>Annette Lack</cp:lastModifiedBy>
  <cp:revision>2</cp:revision>
  <dcterms:created xsi:type="dcterms:W3CDTF">2020-04-23T11:17:00Z</dcterms:created>
  <dcterms:modified xsi:type="dcterms:W3CDTF">2020-04-23T11:17:00Z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0x010100DBBD33FCDD67F141ABBB583B1BDA86B0</vt:lpwstr>
  </property>
</Properties>
</file>